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19" w:rsidRPr="00BB0B19" w:rsidRDefault="00BB0B19" w:rsidP="00B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BB0B1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E9420" wp14:editId="68A55DFF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B19" w:rsidRDefault="00BB0B19" w:rsidP="00BB0B1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BB0B19" w:rsidRDefault="00BB0B19" w:rsidP="00BB0B1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0B1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B13FFB1" wp14:editId="3944ED09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B19" w:rsidRPr="00BB0B19" w:rsidRDefault="00BB0B19" w:rsidP="00B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BB0B19" w:rsidRPr="00BB0B19" w:rsidRDefault="00BB0B19" w:rsidP="00BB0B1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B0B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ТЕРРИТОРИАЛЬНАЯ ИЗБИРАТЕЛЬНАЯ КОМИССИЯ </w:t>
      </w:r>
      <w:r w:rsidR="005009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МИХАЙЛОВСКОГО </w:t>
      </w:r>
      <w:r w:rsidRPr="00BB0B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РАЙОНА</w:t>
      </w:r>
    </w:p>
    <w:p w:rsidR="00BB0B19" w:rsidRPr="00BB0B19" w:rsidRDefault="00BB0B19" w:rsidP="00BB0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B0B19" w:rsidRPr="00FA5D33" w:rsidRDefault="00BB0B19" w:rsidP="00FA5D3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gramStart"/>
      <w:r w:rsidRPr="00FA5D33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A5D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bookmarkEnd w:id="0"/>
    <w:p w:rsidR="00BB0B19" w:rsidRPr="00BB0B19" w:rsidRDefault="00500926" w:rsidP="00BB0B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05.07</w:t>
      </w:r>
      <w:r w:rsidR="00BB0B19"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.2016 г.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B19"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BB0B19"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BB0B19"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Михайловка</w:t>
      </w:r>
      <w:r w:rsidR="00BB0B19" w:rsidRPr="00B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07/87</w:t>
      </w:r>
    </w:p>
    <w:p w:rsidR="00BB0B19" w:rsidRPr="00BB0B19" w:rsidRDefault="00BB0B19" w:rsidP="00BB0B19">
      <w:pPr>
        <w:spacing w:after="0" w:line="240" w:lineRule="auto"/>
        <w:ind w:right="38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B19" w:rsidRPr="00BB0B19" w:rsidRDefault="00BB0B19" w:rsidP="00BB0B19">
      <w:pPr>
        <w:spacing w:after="0" w:line="240" w:lineRule="auto"/>
        <w:ind w:right="38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объеме и порядке размещения на сайте территориальной избирательной комиссии </w:t>
      </w:r>
      <w:r w:rsidR="0050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в информационно-телекоммуникационной сети «Интернет» сведений о поступлении средств на специальные избирательные счета кандидатов и расходовании этих сре</w:t>
      </w:r>
      <w:proofErr w:type="gramStart"/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дств </w:t>
      </w:r>
      <w:r w:rsidR="00EC3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проведении выборов в органы местного самоуправления</w:t>
      </w:r>
      <w:r w:rsidR="0050092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назначенных на 18 сентября 2016 года</w:t>
      </w:r>
    </w:p>
    <w:p w:rsidR="00BB0B19" w:rsidRPr="00BB0B19" w:rsidRDefault="00BB0B19" w:rsidP="00BB0B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B19" w:rsidRPr="00BB0B19" w:rsidRDefault="00BB0B19" w:rsidP="00BB0B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пунктами 13 и 14 статьи 58 Федерального закона «Об основных гарантиях избирательных прав и права на участие в референдуме граждан Российской Федерации»</w:t>
      </w:r>
      <w:r w:rsidR="005009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территориальная избирательная комиссия </w:t>
      </w:r>
      <w:r w:rsidR="0050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BB0B19" w:rsidRPr="00BB0B19" w:rsidRDefault="00BB0B19" w:rsidP="00BB0B1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BB0B19" w:rsidRPr="00BB0B19" w:rsidRDefault="00BB0B19" w:rsidP="00BB0B1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Определить объем сведений о поступлении средств на специальные избирательные счета кандидатов и расходовании этих сре</w:t>
      </w:r>
      <w:proofErr w:type="gramStart"/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проведении выборов в органы местного самоуправления </w:t>
      </w:r>
      <w:r w:rsidR="0050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района, подлежащих размещению на сайте территориальной избира</w:t>
      </w:r>
      <w:r w:rsidR="0050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тельной комиссии Михайловского района 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согласно приложению № 1 к настоящему решению.</w:t>
      </w:r>
    </w:p>
    <w:p w:rsidR="00BB0B19" w:rsidRPr="00BB0B19" w:rsidRDefault="00BB0B19" w:rsidP="00BB0B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  Утвердить порядок размещения сведений о поступлении средств на специальные избирательные счета кандидатов и расходовании этих сре</w:t>
      </w:r>
      <w:proofErr w:type="gramStart"/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проведении выборов в органы местного самоуправления </w:t>
      </w:r>
      <w:r w:rsidR="0050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района, подлежащих размещению на сайте территориальной избирательной комиссии </w:t>
      </w:r>
      <w:r w:rsidR="0050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в информационно-телекоммуникационной сети «Интернет»  (приложение № 2).</w:t>
      </w:r>
    </w:p>
    <w:p w:rsidR="00BB0B19" w:rsidRPr="00BB0B19" w:rsidRDefault="00BB0B19" w:rsidP="00BB0B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B19" w:rsidRPr="00BB0B19" w:rsidRDefault="00BB0B19" w:rsidP="00BB0B1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0926">
        <w:rPr>
          <w:rFonts w:ascii="Times New Roman" w:eastAsia="Times New Roman" w:hAnsi="Times New Roman" w:cs="Times New Roman"/>
          <w:sz w:val="26"/>
          <w:szCs w:val="26"/>
          <w:lang w:eastAsia="ru-RU"/>
        </w:rPr>
        <w:t>Н.С. Горбачева</w:t>
      </w:r>
    </w:p>
    <w:p w:rsidR="00BB0B19" w:rsidRPr="00BB0B19" w:rsidRDefault="00BB0B19" w:rsidP="00BB0B19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7"/>
          <w:szCs w:val="27"/>
          <w:lang w:eastAsia="ru-RU"/>
        </w:rPr>
      </w:pP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00926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Лукашенко</w:t>
      </w:r>
    </w:p>
    <w:p w:rsidR="00BB0B19" w:rsidRPr="00BB0B19" w:rsidRDefault="00BB0B19" w:rsidP="00BB0B19">
      <w:pPr>
        <w:spacing w:after="0" w:line="240" w:lineRule="auto"/>
        <w:rPr>
          <w:rFonts w:ascii="Times New Roman" w:eastAsia="SimSun" w:hAnsi="Times New Roman" w:cs="Times New Roman"/>
          <w:sz w:val="27"/>
          <w:szCs w:val="27"/>
          <w:lang w:eastAsia="ru-RU"/>
        </w:rPr>
        <w:sectPr w:rsidR="00BB0B19" w:rsidRPr="00BB0B19">
          <w:pgSz w:w="11906" w:h="16838"/>
          <w:pgMar w:top="1134" w:right="850" w:bottom="851" w:left="1701" w:header="708" w:footer="708" w:gutter="0"/>
          <w:cols w:space="720"/>
        </w:sectPr>
      </w:pPr>
    </w:p>
    <w:tbl>
      <w:tblPr>
        <w:tblW w:w="15635" w:type="dxa"/>
        <w:tblLook w:val="04A0" w:firstRow="1" w:lastRow="0" w:firstColumn="1" w:lastColumn="0" w:noHBand="0" w:noVBand="1"/>
      </w:tblPr>
      <w:tblGrid>
        <w:gridCol w:w="7978"/>
        <w:gridCol w:w="7657"/>
      </w:tblGrid>
      <w:tr w:rsidR="00BB0B19" w:rsidRPr="00BB0B19" w:rsidTr="00BB0B19">
        <w:trPr>
          <w:trHeight w:val="134"/>
        </w:trPr>
        <w:tc>
          <w:tcPr>
            <w:tcW w:w="7978" w:type="dxa"/>
          </w:tcPr>
          <w:p w:rsidR="00BB0B19" w:rsidRPr="00BB0B19" w:rsidRDefault="00BB0B19" w:rsidP="00BB0B19">
            <w:pPr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7" w:type="dxa"/>
            <w:hideMark/>
          </w:tcPr>
          <w:p w:rsidR="00BB0B19" w:rsidRPr="00500926" w:rsidRDefault="00BB0B19" w:rsidP="00BB0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926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№ 1</w:t>
            </w:r>
          </w:p>
          <w:p w:rsidR="00BB0B19" w:rsidRPr="00500926" w:rsidRDefault="00BB0B19" w:rsidP="00BB0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9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решению территориальной избирательной комиссии </w:t>
            </w:r>
          </w:p>
          <w:p w:rsidR="00BB0B19" w:rsidRPr="00500926" w:rsidRDefault="00500926" w:rsidP="00BB0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9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Михайловского </w:t>
            </w:r>
            <w:r w:rsidR="00BB0B19" w:rsidRPr="005009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района </w:t>
            </w:r>
          </w:p>
        </w:tc>
      </w:tr>
      <w:tr w:rsidR="00BB0B19" w:rsidRPr="00500926" w:rsidTr="00BB0B19">
        <w:trPr>
          <w:trHeight w:val="104"/>
        </w:trPr>
        <w:tc>
          <w:tcPr>
            <w:tcW w:w="7978" w:type="dxa"/>
          </w:tcPr>
          <w:p w:rsidR="00BB0B19" w:rsidRPr="00500926" w:rsidRDefault="00BB0B19" w:rsidP="00BB0B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7" w:type="dxa"/>
          </w:tcPr>
          <w:p w:rsidR="00BB0B19" w:rsidRPr="00500926" w:rsidRDefault="00500926" w:rsidP="00BB0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926">
              <w:rPr>
                <w:rFonts w:ascii="Times New Roman" w:eastAsia="Calibri" w:hAnsi="Times New Roman" w:cs="Times New Roman"/>
                <w:sz w:val="20"/>
                <w:szCs w:val="20"/>
              </w:rPr>
              <w:t>от 5 июл</w:t>
            </w:r>
            <w:r w:rsidR="00BB0B19" w:rsidRPr="005009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2016 года № </w:t>
            </w:r>
            <w:r w:rsidRPr="00500926">
              <w:rPr>
                <w:rFonts w:ascii="Times New Roman" w:eastAsia="Calibri" w:hAnsi="Times New Roman" w:cs="Times New Roman"/>
                <w:sz w:val="20"/>
                <w:szCs w:val="20"/>
              </w:rPr>
              <w:t>07/87</w:t>
            </w:r>
          </w:p>
          <w:p w:rsidR="00BB0B19" w:rsidRPr="00500926" w:rsidRDefault="00BB0B19" w:rsidP="00BB0B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0B19" w:rsidRPr="00500926" w:rsidRDefault="00BB0B19" w:rsidP="00BB0B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00926" w:rsidRDefault="00BB0B19" w:rsidP="00BB0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9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BB0B19" w:rsidRPr="00500926" w:rsidRDefault="00BB0B19" w:rsidP="00BB0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поступлении средств на специальные избирательные счета кандидатов и расходовании этих сре</w:t>
      </w:r>
      <w:proofErr w:type="gramStart"/>
      <w:r w:rsidRPr="005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5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проведении выборов в органы местного самоуправления </w:t>
      </w:r>
      <w:r w:rsidR="005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5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района, подлежащих размещению на сайте территориальной избирательной комиссии </w:t>
      </w:r>
      <w:r w:rsidR="005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</w:t>
      </w:r>
      <w:r w:rsidRPr="005009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50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</w:p>
    <w:p w:rsidR="00BB0B19" w:rsidRPr="00BB0B19" w:rsidRDefault="00BB0B19" w:rsidP="00BB0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1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основании данных, представленных филиалами публичного акционерного общества «Сбербанк России»)</w:t>
      </w:r>
    </w:p>
    <w:p w:rsidR="00BB0B19" w:rsidRPr="00BB0B19" w:rsidRDefault="00BB0B19" w:rsidP="00BB0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19" w:rsidRPr="00BB0B19" w:rsidRDefault="00BB0B19" w:rsidP="00BB0B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BB0B19" w:rsidRPr="00BB0B19" w:rsidRDefault="00BB0B19" w:rsidP="00BB0B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0B1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выборов)</w:t>
      </w:r>
    </w:p>
    <w:p w:rsidR="00BB0B19" w:rsidRPr="00BB0B19" w:rsidRDefault="00BB0B19" w:rsidP="00BB0B1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BB0B19" w:rsidRPr="00BB0B19" w:rsidRDefault="00BB0B19" w:rsidP="00BB0B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0B1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номер избирательного округа)</w:t>
      </w:r>
    </w:p>
    <w:p w:rsidR="00BB0B19" w:rsidRPr="00BB0B19" w:rsidRDefault="00BB0B19" w:rsidP="00BB0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B19" w:rsidRPr="00BB0B19" w:rsidRDefault="00BB0B19" w:rsidP="00BB0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 сост</w:t>
      </w:r>
      <w:r w:rsidR="00500926">
        <w:rPr>
          <w:rFonts w:ascii="Times New Roman" w:eastAsia="Times New Roman" w:hAnsi="Times New Roman" w:cs="Times New Roman"/>
          <w:sz w:val="24"/>
          <w:szCs w:val="24"/>
          <w:lang w:eastAsia="ru-RU"/>
        </w:rPr>
        <w:t>оянию на «__» __________ 2016</w:t>
      </w:r>
      <w:r w:rsidRPr="00BB0B1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B0B19" w:rsidRPr="00BB0B19" w:rsidRDefault="00BB0B19" w:rsidP="00BB0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851"/>
        <w:gridCol w:w="2552"/>
        <w:gridCol w:w="1561"/>
        <w:gridCol w:w="850"/>
        <w:gridCol w:w="1560"/>
        <w:gridCol w:w="851"/>
        <w:gridCol w:w="2411"/>
        <w:gridCol w:w="2410"/>
      </w:tblGrid>
      <w:tr w:rsidR="00BB0B19" w:rsidRPr="00BB0B19" w:rsidTr="00BB0B19">
        <w:trPr>
          <w:cantSplit/>
          <w:trHeight w:val="36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7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Ф.И.О.</w:t>
            </w:r>
          </w:p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кандидата, </w:t>
            </w:r>
          </w:p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избирательного объединения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Поступило средств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Израсходовано средств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Возвращено средств</w:t>
            </w:r>
          </w:p>
        </w:tc>
      </w:tr>
      <w:tr w:rsidR="00BB0B19" w:rsidRPr="00BB0B19" w:rsidTr="00BB0B19">
        <w:trPr>
          <w:cantSplit/>
          <w:trHeight w:val="24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19" w:rsidRPr="00BB0B19" w:rsidRDefault="00BB0B19" w:rsidP="00B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19" w:rsidRPr="00BB0B19" w:rsidRDefault="00BB0B19" w:rsidP="00B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 них финансовые  </w:t>
            </w: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операции по расходованию </w:t>
            </w: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средств на сумму,    </w:t>
            </w: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превышающую </w:t>
            </w: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50 тыс.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19" w:rsidRPr="00BB0B19" w:rsidRDefault="00BB0B19" w:rsidP="00BB0B1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</w:t>
            </w: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ru-RU"/>
              </w:rPr>
              <w:footnoteReference w:id="1"/>
            </w: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тыс. рублей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Основание возврата</w:t>
            </w:r>
          </w:p>
        </w:tc>
      </w:tr>
      <w:tr w:rsidR="00BB0B19" w:rsidRPr="00BB0B19" w:rsidTr="00BB0B19">
        <w:trPr>
          <w:cantSplit/>
          <w:trHeight w:val="1282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19" w:rsidRPr="00BB0B19" w:rsidRDefault="00BB0B19" w:rsidP="00B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19" w:rsidRPr="00BB0B19" w:rsidRDefault="00BB0B19" w:rsidP="00B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19" w:rsidRPr="00BB0B19" w:rsidRDefault="00BB0B19" w:rsidP="00B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юридического лица, перечислившего добровольные пожертвования </w:t>
            </w: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в сумме, превышающей  </w:t>
            </w: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25 тыс. руб.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количество граждан, </w:t>
            </w: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внесших    </w:t>
            </w: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добровольные пожертвования</w:t>
            </w: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в сумме,   </w:t>
            </w: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превышающей </w:t>
            </w: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 тыс. руб.</w:t>
            </w: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19" w:rsidRPr="00BB0B19" w:rsidRDefault="00BB0B19" w:rsidP="00B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0B19" w:rsidRPr="00BB0B19" w:rsidRDefault="00BB0B19" w:rsidP="00B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19" w:rsidRPr="00BB0B19" w:rsidRDefault="00BB0B19" w:rsidP="00B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B0B19" w:rsidRPr="00BB0B19" w:rsidRDefault="00BB0B19" w:rsidP="00B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0B19" w:rsidRPr="00BB0B19" w:rsidTr="00BB0B19">
        <w:trPr>
          <w:cantSplit/>
          <w:trHeight w:val="754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19" w:rsidRPr="00BB0B19" w:rsidRDefault="00BB0B19" w:rsidP="00B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19" w:rsidRPr="00BB0B19" w:rsidRDefault="00BB0B19" w:rsidP="00B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19" w:rsidRPr="00BB0B19" w:rsidRDefault="00BB0B19" w:rsidP="00B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19" w:rsidRPr="00BB0B19" w:rsidRDefault="00BB0B19" w:rsidP="00B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19" w:rsidRPr="00BB0B19" w:rsidRDefault="00BB0B19" w:rsidP="00B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0B19" w:rsidRPr="00BB0B19" w:rsidRDefault="00BB0B19" w:rsidP="00B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финансовой операции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</w:t>
            </w: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тыс. </w:t>
            </w: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19" w:rsidRPr="00BB0B19" w:rsidRDefault="00BB0B19" w:rsidP="00BB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0B19" w:rsidRPr="00BB0B19" w:rsidRDefault="00BB0B19" w:rsidP="00BB0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0B19" w:rsidRPr="00BB0B19" w:rsidTr="00BB0B19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0B1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BB0B19" w:rsidRPr="00BB0B19" w:rsidTr="00BB0B19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B0B19" w:rsidRPr="00BB0B19" w:rsidRDefault="00BB0B19" w:rsidP="00BB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B19" w:rsidRPr="00BB0B19" w:rsidRDefault="00BB0B19" w:rsidP="00BB0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BB0B19" w:rsidRPr="00BB0B19" w:rsidRDefault="00BB0B19" w:rsidP="00BB0B19">
      <w:pPr>
        <w:spacing w:after="0" w:line="240" w:lineRule="auto"/>
        <w:ind w:right="-1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B0B19" w:rsidRPr="00BB0B19" w:rsidRDefault="00BB0B19" w:rsidP="00BB0B19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_______________________________________________________ ____________________________ ________________________</w:t>
      </w:r>
    </w:p>
    <w:p w:rsidR="00BB0B19" w:rsidRPr="00BB0B19" w:rsidRDefault="00BB0B19" w:rsidP="00BB0B19">
      <w:pPr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B0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B0B1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соответствующей избирательной комиссии)                                                                  (подпись)</w:t>
      </w:r>
      <w:r w:rsidRPr="00BB0B1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(расшифровка подписи)</w:t>
      </w:r>
    </w:p>
    <w:p w:rsidR="00BB0B19" w:rsidRPr="00BB0B19" w:rsidRDefault="00BB0B19" w:rsidP="00BB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B19" w:rsidRPr="00BB0B19" w:rsidRDefault="00BB0B19" w:rsidP="00BB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0B19" w:rsidRPr="00BB0B19" w:rsidRDefault="00BB0B19" w:rsidP="00BB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BB0B19" w:rsidRPr="00BB0B19">
          <w:pgSz w:w="16838" w:h="11906" w:orient="landscape"/>
          <w:pgMar w:top="851" w:right="851" w:bottom="568" w:left="851" w:header="709" w:footer="709" w:gutter="0"/>
          <w:cols w:space="720"/>
        </w:sectPr>
      </w:pPr>
    </w:p>
    <w:tbl>
      <w:tblPr>
        <w:tblW w:w="15635" w:type="dxa"/>
        <w:tblLook w:val="04A0" w:firstRow="1" w:lastRow="0" w:firstColumn="1" w:lastColumn="0" w:noHBand="0" w:noVBand="1"/>
      </w:tblPr>
      <w:tblGrid>
        <w:gridCol w:w="15635"/>
      </w:tblGrid>
      <w:tr w:rsidR="00BB0B19" w:rsidRPr="00BB0B19" w:rsidTr="00BB0B19">
        <w:trPr>
          <w:trHeight w:val="134"/>
        </w:trPr>
        <w:tc>
          <w:tcPr>
            <w:tcW w:w="7657" w:type="dxa"/>
            <w:hideMark/>
          </w:tcPr>
          <w:p w:rsidR="00BB0B19" w:rsidRPr="00BB0B19" w:rsidRDefault="00BB0B19" w:rsidP="00BB0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0B1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Приложение № 2</w:t>
            </w:r>
          </w:p>
          <w:p w:rsidR="00BB0B19" w:rsidRPr="00BB0B19" w:rsidRDefault="00BB0B19" w:rsidP="00BB0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0B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решению </w:t>
            </w:r>
            <w:proofErr w:type="gramStart"/>
            <w:r w:rsidRPr="00BB0B19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территориальной</w:t>
            </w:r>
            <w:proofErr w:type="gramEnd"/>
            <w:r w:rsidRPr="00BB0B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избирательной </w:t>
            </w:r>
          </w:p>
          <w:p w:rsidR="00BB0B19" w:rsidRPr="00BB0B19" w:rsidRDefault="00BB0B19" w:rsidP="005009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0B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комиссии </w:t>
            </w:r>
            <w:r w:rsidR="005009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Михайловского </w:t>
            </w:r>
            <w:r w:rsidRPr="00BB0B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района </w:t>
            </w:r>
          </w:p>
        </w:tc>
      </w:tr>
      <w:tr w:rsidR="00BB0B19" w:rsidRPr="00BB0B19" w:rsidTr="00BB0B19">
        <w:trPr>
          <w:trHeight w:val="104"/>
        </w:trPr>
        <w:tc>
          <w:tcPr>
            <w:tcW w:w="7657" w:type="dxa"/>
          </w:tcPr>
          <w:p w:rsidR="00BB0B19" w:rsidRPr="00BB0B19" w:rsidRDefault="00500926" w:rsidP="00BB0B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5  июл</w:t>
            </w:r>
            <w:r w:rsidR="00BB0B19" w:rsidRPr="00BB0B19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BB0B19" w:rsidRPr="00BB0B1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2016 года № 07/87</w:t>
            </w:r>
          </w:p>
          <w:p w:rsidR="00BB0B19" w:rsidRPr="00BB0B19" w:rsidRDefault="00BB0B19" w:rsidP="00BB0B1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BB0B19" w:rsidRPr="00BB0B19" w:rsidRDefault="00BB0B19" w:rsidP="00BB0B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размещения</w:t>
      </w:r>
    </w:p>
    <w:p w:rsidR="00BB0B19" w:rsidRPr="00BB0B19" w:rsidRDefault="00BB0B19" w:rsidP="00BB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поступлении средств на специальные избирательные счета кандидатов и расходовании этих сре</w:t>
      </w:r>
      <w:proofErr w:type="gramStart"/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проведении выборов в органы местного самоуправления </w:t>
      </w:r>
      <w:r w:rsidR="0050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района, подлежащих размещению на сайте территориальной избирательной комиссии </w:t>
      </w:r>
      <w:r w:rsidR="0050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в информационно-телекоммуникационной сети «Интернет»</w:t>
      </w:r>
    </w:p>
    <w:p w:rsidR="00BB0B19" w:rsidRPr="00BB0B19" w:rsidRDefault="00BB0B19" w:rsidP="00BB0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B19" w:rsidRPr="00BB0B19" w:rsidRDefault="00BB0B19" w:rsidP="005009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B19">
        <w:rPr>
          <w:rFonts w:ascii="Times New Roman" w:eastAsia="Lucida Sans Unicode" w:hAnsi="Times New Roman" w:cs="Times New Roman"/>
          <w:kern w:val="2"/>
          <w:sz w:val="26"/>
          <w:szCs w:val="26"/>
          <w:lang w:eastAsia="ru-RU"/>
        </w:rPr>
        <w:t xml:space="preserve">        1. </w:t>
      </w:r>
      <w:proofErr w:type="gramStart"/>
      <w:r w:rsidRPr="00BB0B19">
        <w:rPr>
          <w:rFonts w:ascii="Times New Roman" w:eastAsia="Lucida Sans Unicode" w:hAnsi="Times New Roman" w:cs="Times New Roman"/>
          <w:kern w:val="2"/>
          <w:sz w:val="26"/>
          <w:szCs w:val="26"/>
          <w:lang w:eastAsia="ru-RU"/>
        </w:rPr>
        <w:t>Настоящий порядок определяет процедуру размещения с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ведений о поступлении средств на специальные избирательные счета кандидатов,</w:t>
      </w:r>
      <w:r w:rsidRPr="00BB0B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избирательных объединений и расходовании этих средств (далее - Сведения), о</w:t>
      </w:r>
      <w:r w:rsidRPr="00BB0B19">
        <w:rPr>
          <w:rFonts w:ascii="Times New Roman" w:eastAsia="Lucida Sans Unicode" w:hAnsi="Times New Roman" w:cs="Times New Roman"/>
          <w:kern w:val="2"/>
          <w:sz w:val="26"/>
          <w:szCs w:val="26"/>
          <w:lang w:eastAsia="ru-RU"/>
        </w:rPr>
        <w:t xml:space="preserve">бязательность размещения которых 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сайте территориальной избирательной комиссии </w:t>
      </w:r>
      <w:r w:rsidR="0050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50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Комиссия) в информационно-телекоммуникационной сети «Интернет» </w:t>
      </w:r>
      <w:r w:rsidRPr="00BB0B19">
        <w:rPr>
          <w:rFonts w:ascii="Times New Roman" w:eastAsia="Lucida Sans Unicode" w:hAnsi="Times New Roman" w:cs="Times New Roman"/>
          <w:kern w:val="2"/>
          <w:sz w:val="26"/>
          <w:szCs w:val="26"/>
          <w:lang w:eastAsia="ru-RU"/>
        </w:rPr>
        <w:t xml:space="preserve">определена 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пунктами 13, 14 статьи 58 </w:t>
      </w:r>
      <w:r w:rsidRPr="00BB0B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BB0B19" w:rsidRPr="00BB0B19" w:rsidRDefault="00BB0B19" w:rsidP="00500926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Обязательному размещению при проведении выборов местного самоуправления </w:t>
      </w:r>
      <w:r w:rsidR="00500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Михайловского 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BB0B19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подлежат сведения:</w:t>
      </w:r>
    </w:p>
    <w:p w:rsidR="00BB0B19" w:rsidRPr="00BB0B19" w:rsidRDefault="00BB0B19" w:rsidP="005009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B0B19">
        <w:rPr>
          <w:rFonts w:ascii="Times New Roman" w:eastAsia="Times New Roman" w:hAnsi="Times New Roman" w:cs="Calibri"/>
          <w:sz w:val="26"/>
          <w:szCs w:val="26"/>
          <w:lang w:eastAsia="ru-RU"/>
        </w:rPr>
        <w:t>а) о финансовой операции по расходованию средств из соответствующего избирательного фонда, если ее размер превышает 50 тысяч рублей;</w:t>
      </w:r>
    </w:p>
    <w:p w:rsidR="00BB0B19" w:rsidRPr="00BB0B19" w:rsidRDefault="00BB0B19" w:rsidP="005009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B0B19">
        <w:rPr>
          <w:rFonts w:ascii="Times New Roman" w:eastAsia="Times New Roman" w:hAnsi="Times New Roman" w:cs="Calibri"/>
          <w:sz w:val="26"/>
          <w:szCs w:val="26"/>
          <w:lang w:eastAsia="ru-RU"/>
        </w:rPr>
        <w:t>б) о юридических лицах, перечисливших в соответствующий избирательный фонд добровольные пожертвования в сумме, превышающей 25 тысяч рублей;</w:t>
      </w:r>
    </w:p>
    <w:p w:rsidR="00BB0B19" w:rsidRPr="00BB0B19" w:rsidRDefault="00BB0B19" w:rsidP="005009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B0B19">
        <w:rPr>
          <w:rFonts w:ascii="Times New Roman" w:eastAsia="Times New Roman" w:hAnsi="Times New Roman" w:cs="Calibri"/>
          <w:sz w:val="26"/>
          <w:szCs w:val="26"/>
          <w:lang w:eastAsia="ru-RU"/>
        </w:rPr>
        <w:t>в) 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:rsidR="00BB0B19" w:rsidRPr="00BB0B19" w:rsidRDefault="00BB0B19" w:rsidP="005009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B0B19">
        <w:rPr>
          <w:rFonts w:ascii="Times New Roman" w:eastAsia="Times New Roman" w:hAnsi="Times New Roman" w:cs="Calibri"/>
          <w:sz w:val="26"/>
          <w:szCs w:val="26"/>
          <w:lang w:eastAsia="ru-RU"/>
        </w:rPr>
        <w:t>г) о средствах, возвращенных жертвователям из соответствующего избирательного фонда, в том числе об основаниях возврата;</w:t>
      </w:r>
    </w:p>
    <w:p w:rsidR="00BB0B19" w:rsidRPr="00BB0B19" w:rsidRDefault="00BB0B19" w:rsidP="005009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B0B19">
        <w:rPr>
          <w:rFonts w:ascii="Times New Roman" w:eastAsia="Times New Roman" w:hAnsi="Times New Roman" w:cs="Calibri"/>
          <w:sz w:val="26"/>
          <w:szCs w:val="26"/>
          <w:lang w:eastAsia="ru-RU"/>
        </w:rPr>
        <w:t>д) об общей сумме средств, поступивших в соответствующий избирательный фонд и об общей сумме израсходованных средств.</w:t>
      </w:r>
    </w:p>
    <w:p w:rsidR="00BB0B19" w:rsidRPr="00BB0B19" w:rsidRDefault="00BB0B19" w:rsidP="0050092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на основании данных, представленных филиалами публичного акционерного общества «Сбербанк России», размещает на сайте территориальной избирательной комиссии </w:t>
      </w:r>
      <w:r w:rsidR="0050092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района  С</w:t>
      </w: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с нарастающим итогом по утверждённой форме в следующие сроки: за 15 и за 5 дней до дня голосования, а также после представления кандидатом (избирательным объединением) итогового финансового отчета, но не позднее чем через 30 дней со дня официального опубликования результатов</w:t>
      </w:r>
      <w:proofErr w:type="gramEnd"/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соответствующих выборов, не позднее трех дней со дня их поступления.</w:t>
      </w:r>
    </w:p>
    <w:p w:rsidR="00BB0B19" w:rsidRPr="00BB0B19" w:rsidRDefault="00BB0B19" w:rsidP="00500926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B0B19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Сведения представляются по состоянию не более чем на 3 дня, предшествующему датам, указанным в пункте 3 настоящего Порядка.</w:t>
      </w:r>
      <w:r w:rsidR="00500926" w:rsidRPr="00BB0B1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</w:p>
    <w:p w:rsidR="000B5665" w:rsidRDefault="000B5665" w:rsidP="00500926"/>
    <w:sectPr w:rsidR="000B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ED" w:rsidRDefault="00C26BED" w:rsidP="00BB0B19">
      <w:pPr>
        <w:spacing w:after="0" w:line="240" w:lineRule="auto"/>
      </w:pPr>
      <w:r>
        <w:separator/>
      </w:r>
    </w:p>
  </w:endnote>
  <w:endnote w:type="continuationSeparator" w:id="0">
    <w:p w:rsidR="00C26BED" w:rsidRDefault="00C26BED" w:rsidP="00BB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ED" w:rsidRDefault="00C26BED" w:rsidP="00BB0B19">
      <w:pPr>
        <w:spacing w:after="0" w:line="240" w:lineRule="auto"/>
      </w:pPr>
      <w:r>
        <w:separator/>
      </w:r>
    </w:p>
  </w:footnote>
  <w:footnote w:type="continuationSeparator" w:id="0">
    <w:p w:rsidR="00C26BED" w:rsidRDefault="00C26BED" w:rsidP="00BB0B19">
      <w:pPr>
        <w:spacing w:after="0" w:line="240" w:lineRule="auto"/>
      </w:pPr>
      <w:r>
        <w:continuationSeparator/>
      </w:r>
    </w:p>
  </w:footnote>
  <w:footnote w:id="1">
    <w:p w:rsidR="00BB0B19" w:rsidRDefault="00BB0B19" w:rsidP="00BB0B19">
      <w:pPr>
        <w:pStyle w:val="a3"/>
      </w:pPr>
      <w:r>
        <w:rPr>
          <w:rStyle w:val="a5"/>
        </w:rPr>
        <w:footnoteRef/>
      </w:r>
      <w:r>
        <w:t xml:space="preserve"> Указывается общая сумма возвращенных средств по каждому основанию возврата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19"/>
    <w:rsid w:val="000B5665"/>
    <w:rsid w:val="0016692E"/>
    <w:rsid w:val="00500926"/>
    <w:rsid w:val="00BB0B19"/>
    <w:rsid w:val="00C26BED"/>
    <w:rsid w:val="00EC3551"/>
    <w:rsid w:val="00FA5D33"/>
    <w:rsid w:val="00F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B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B0B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B0B19"/>
    <w:rPr>
      <w:rFonts w:ascii="Times New Roman" w:hAnsi="Times New Roman" w:cs="Times New Roman" w:hint="default"/>
      <w:spacing w:val="0"/>
      <w:w w:val="100"/>
      <w:position w:val="0"/>
      <w:sz w:val="22"/>
      <w:szCs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B0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BB0B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B0B19"/>
    <w:rPr>
      <w:rFonts w:ascii="Times New Roman" w:hAnsi="Times New Roman" w:cs="Times New Roman" w:hint="default"/>
      <w:spacing w:val="0"/>
      <w:w w:val="100"/>
      <w:position w:val="0"/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dcterms:created xsi:type="dcterms:W3CDTF">2016-07-06T01:22:00Z</dcterms:created>
  <dcterms:modified xsi:type="dcterms:W3CDTF">2016-07-07T07:51:00Z</dcterms:modified>
</cp:coreProperties>
</file>